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rPr>
          <w:rFonts w:ascii="黑体" w:eastAsia="黑体"/>
          <w:sz w:val="32"/>
          <w:szCs w:val="32"/>
        </w:rPr>
      </w:pPr>
      <w:r>
        <w:rPr>
          <w:rFonts w:ascii="黑体" w:eastAsia="黑体"/>
          <w:sz w:val="32"/>
          <w:szCs w:val="32"/>
        </w:rPr>
        <w:t>附件</w:t>
      </w:r>
      <w:r>
        <w:rPr>
          <w:rFonts w:ascii="黑体" w:eastAsia="黑体" w:hint="eastAsia"/>
          <w:sz w:val="32"/>
          <w:szCs w:val="32"/>
        </w:rPr>
        <w:t>2</w:t>
      </w:r>
    </w:p>
    <w:p/>
    <w:p/>
    <w:p/>
    <w:p>
      <w:pPr>
        <w:ind w:firstLineChars="500" w:firstLine="1050"/>
      </w:pPr>
    </w:p>
    <w:p>
      <w:pPr>
        <w:ind w:firstLineChars="500" w:firstLine="1050"/>
      </w:pPr>
    </w:p>
    <w:p>
      <w:pPr>
        <w:ind w:firstLineChars="400" w:firstLine="1760"/>
        <w:rPr>
          <w:rFonts w:ascii="黑体" w:eastAsia="黑体"/>
          <w:sz w:val="44"/>
          <w:szCs w:val="44"/>
        </w:rPr>
      </w:pPr>
    </w:p>
    <w:p>
      <w:pPr>
        <w:ind w:firstLineChars="400" w:firstLine="1760"/>
        <w:rPr>
          <w:rFonts w:ascii="黑体" w:eastAsia="黑体"/>
          <w:sz w:val="44"/>
          <w:szCs w:val="44"/>
        </w:rPr>
      </w:pPr>
    </w:p>
    <w:p>
      <w:pPr>
        <w:jc w:val="center"/>
        <w:rPr>
          <w:rFonts w:ascii="黑体" w:eastAsia="黑体"/>
          <w:sz w:val="44"/>
          <w:szCs w:val="44"/>
        </w:rPr>
      </w:pPr>
      <w:r>
        <w:rPr>
          <w:rFonts w:ascii="黑体" w:eastAsia="黑体" w:hint="eastAsia"/>
          <w:sz w:val="44"/>
          <w:szCs w:val="44"/>
        </w:rPr>
        <w:t>部门（单位）名称</w:t>
      </w:r>
    </w:p>
    <w:p>
      <w:pPr>
        <w:jc w:val="center"/>
        <w:rPr>
          <w:rFonts w:ascii="黑体" w:eastAsia="黑体"/>
          <w:sz w:val="44"/>
          <w:szCs w:val="44"/>
        </w:rPr>
      </w:pPr>
      <w:r>
        <w:rPr>
          <w:rFonts w:ascii="黑体" w:eastAsia="黑体"/>
          <w:sz w:val="44"/>
          <w:szCs w:val="44"/>
        </w:rPr>
        <w:t>2025</w:t>
      </w:r>
      <w:r>
        <w:rPr>
          <w:rFonts w:ascii="黑体" w:eastAsia="黑体" w:hint="eastAsia"/>
          <w:sz w:val="44"/>
          <w:szCs w:val="44"/>
        </w:rPr>
        <w:t>年部门预算</w:t>
      </w:r>
    </w:p>
    <w:p>
      <w:pPr>
        <w:ind w:firstLineChars="400" w:firstLine="1760"/>
        <w:rPr>
          <w:rFonts w:ascii="黑体" w:eastAsia="黑体"/>
          <w:sz w:val="44"/>
          <w:szCs w:val="44"/>
        </w:rPr>
      </w:pPr>
      <w:bookmarkStart w:id="0" w:name="_GoBack"/>
      <w:bookmarkEnd w:id="0"/>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ind w:firstLineChars="400" w:firstLine="1760"/>
        <w:rPr>
          <w:rFonts w:ascii="黑体" w:eastAsia="黑体"/>
          <w:sz w:val="44"/>
          <w:szCs w:val="44"/>
        </w:rPr>
      </w:pPr>
    </w:p>
    <w:p>
      <w:pPr>
        <w:rPr>
          <w:rFonts w:ascii="黑体" w:eastAsia="黑体"/>
          <w:sz w:val="44"/>
          <w:szCs w:val="44"/>
        </w:rPr>
      </w:pPr>
    </w:p>
    <w:p>
      <w:pPr>
        <w:ind w:firstLineChars="600" w:firstLine="3120"/>
        <w:rPr>
          <w:rFonts w:ascii="黑体" w:eastAsia="黑体"/>
          <w:sz w:val="52"/>
          <w:szCs w:val="52"/>
        </w:rPr>
      </w:pPr>
      <w:r>
        <w:rPr>
          <w:rFonts w:ascii="黑体" w:eastAsia="黑体" w:hint="eastAsia"/>
          <w:sz w:val="52"/>
          <w:szCs w:val="52"/>
        </w:rPr>
        <w:t>目录</w:t>
      </w:r>
    </w:p>
    <w:p>
      <w:pPr>
        <w:ind w:firstLineChars="700" w:firstLine="3080"/>
        <w:rPr>
          <w:rFonts w:ascii="黑体" w:eastAsia="黑体"/>
          <w:sz w:val="44"/>
          <w:szCs w:val="44"/>
        </w:rPr>
      </w:pPr>
    </w:p>
    <w:p>
      <w:pPr>
        <w:pStyle w:val="17"/>
        <w:ind w:firstLineChars="0" w:firstLine="0"/>
        <w:rPr>
          <w:rFonts w:ascii="黑体" w:eastAsia="黑体"/>
          <w:sz w:val="32"/>
          <w:szCs w:val="32"/>
        </w:rPr>
      </w:pPr>
      <w:r>
        <w:rPr>
          <w:rFonts w:ascii="黑体" w:eastAsia="黑体" w:hint="eastAsia"/>
          <w:sz w:val="32"/>
          <w:szCs w:val="32"/>
        </w:rPr>
        <w:t>一、基本职能及主要工作</w:t>
      </w:r>
    </w:p>
    <w:p>
      <w:pPr>
        <w:rPr>
          <w:rFonts w:ascii="楷体" w:eastAsia="楷体"/>
          <w:sz w:val="32"/>
          <w:szCs w:val="32"/>
        </w:rPr>
      </w:pPr>
      <w:r>
        <w:rPr>
          <w:rFonts w:ascii="楷体" w:eastAsia="楷体" w:hint="eastAsia"/>
          <w:sz w:val="32"/>
          <w:szCs w:val="32"/>
        </w:rPr>
        <w:t>（一）部门职能简介</w:t>
      </w:r>
    </w:p>
    <w:p>
      <w:pPr>
        <w:rPr>
          <w:rFonts w:ascii="楷体" w:eastAsia="楷体"/>
          <w:sz w:val="32"/>
          <w:szCs w:val="32"/>
        </w:rPr>
      </w:pPr>
      <w:r>
        <w:rPr>
          <w:rFonts w:ascii="楷体" w:eastAsia="楷体" w:hint="eastAsia"/>
          <w:sz w:val="32"/>
          <w:szCs w:val="32"/>
        </w:rPr>
        <w:t>（二）</w:t>
      </w:r>
      <w:r>
        <w:rPr>
          <w:rFonts w:ascii="楷体" w:eastAsia="楷体"/>
          <w:sz w:val="32"/>
          <w:szCs w:val="32"/>
        </w:rPr>
        <w:t>2025</w:t>
      </w:r>
      <w:r>
        <w:rPr>
          <w:rFonts w:ascii="楷体" w:eastAsia="楷体" w:hint="eastAsia"/>
          <w:sz w:val="32"/>
          <w:szCs w:val="32"/>
        </w:rPr>
        <w:t>年重点工作</w:t>
      </w:r>
    </w:p>
    <w:p>
      <w:pPr>
        <w:rPr>
          <w:rFonts w:ascii="黑体" w:eastAsia="黑体"/>
          <w:sz w:val="32"/>
          <w:szCs w:val="32"/>
        </w:rPr>
      </w:pPr>
      <w:r>
        <w:rPr>
          <w:rFonts w:ascii="黑体" w:eastAsia="黑体" w:hint="eastAsia"/>
          <w:sz w:val="32"/>
          <w:szCs w:val="32"/>
        </w:rPr>
        <w:t>二、部门预算单位构成</w:t>
      </w:r>
    </w:p>
    <w:p>
      <w:pPr>
        <w:rPr>
          <w:rFonts w:ascii="黑体" w:eastAsia="黑体"/>
          <w:sz w:val="32"/>
          <w:szCs w:val="32"/>
        </w:rPr>
      </w:pPr>
      <w:r>
        <w:rPr>
          <w:rFonts w:ascii="黑体" w:eastAsia="黑体" w:hint="eastAsia"/>
          <w:sz w:val="32"/>
          <w:szCs w:val="32"/>
        </w:rPr>
        <w:t>三、收支预算情况说明</w:t>
      </w:r>
    </w:p>
    <w:p>
      <w:pPr>
        <w:rPr>
          <w:rFonts w:ascii="楷体" w:eastAsia="楷体"/>
          <w:sz w:val="32"/>
          <w:szCs w:val="32"/>
        </w:rPr>
      </w:pPr>
      <w:r>
        <w:rPr>
          <w:rFonts w:ascii="楷体" w:eastAsia="楷体" w:hint="eastAsia"/>
          <w:sz w:val="32"/>
          <w:szCs w:val="32"/>
        </w:rPr>
        <w:t>（一）收入预算情况</w:t>
      </w:r>
    </w:p>
    <w:p>
      <w:pPr>
        <w:rPr>
          <w:rFonts w:ascii="楷体" w:eastAsia="楷体"/>
          <w:sz w:val="32"/>
          <w:szCs w:val="32"/>
        </w:rPr>
      </w:pPr>
      <w:r>
        <w:rPr>
          <w:rFonts w:ascii="楷体" w:eastAsia="楷体" w:hint="eastAsia"/>
          <w:sz w:val="32"/>
          <w:szCs w:val="32"/>
        </w:rPr>
        <w:t>（二）支出预算情况</w:t>
      </w:r>
    </w:p>
    <w:p>
      <w:pPr>
        <w:rPr>
          <w:rFonts w:ascii="黑体" w:eastAsia="黑体"/>
          <w:sz w:val="32"/>
          <w:szCs w:val="32"/>
        </w:rPr>
      </w:pPr>
      <w:r>
        <w:rPr>
          <w:rFonts w:ascii="黑体" w:eastAsia="黑体" w:hint="eastAsia"/>
          <w:sz w:val="32"/>
          <w:szCs w:val="32"/>
        </w:rPr>
        <w:t>四、财政拨款收支预算情况说明</w:t>
      </w:r>
    </w:p>
    <w:p>
      <w:pPr>
        <w:rPr>
          <w:rFonts w:ascii="黑体" w:eastAsia="黑体"/>
          <w:sz w:val="32"/>
          <w:szCs w:val="32"/>
        </w:rPr>
      </w:pPr>
      <w:r>
        <w:rPr>
          <w:rFonts w:ascii="黑体" w:eastAsia="黑体" w:hint="eastAsia"/>
          <w:sz w:val="32"/>
          <w:szCs w:val="32"/>
        </w:rPr>
        <w:t>五、一般公共预算当年拨款情况说明</w:t>
      </w:r>
    </w:p>
    <w:p>
      <w:pPr>
        <w:rPr>
          <w:rFonts w:ascii="黑体" w:eastAsia="黑体"/>
          <w:sz w:val="32"/>
          <w:szCs w:val="32"/>
        </w:rPr>
      </w:pPr>
      <w:r>
        <w:rPr>
          <w:rFonts w:ascii="楷体" w:eastAsia="楷体" w:hint="eastAsia"/>
          <w:sz w:val="32"/>
          <w:szCs w:val="32"/>
        </w:rPr>
        <w:t>（一）一般公共预算当年拨款规模变化情况</w:t>
      </w:r>
      <w:r>
        <w:rPr>
          <w:rFonts w:ascii="楷体" w:eastAsia="楷体"/>
          <w:sz w:val="32"/>
          <w:szCs w:val="32"/>
        </w:rPr>
        <w:br/>
      </w:r>
      <w:r>
        <w:rPr>
          <w:rFonts w:ascii="楷体" w:eastAsia="楷体" w:hint="eastAsia"/>
          <w:sz w:val="32"/>
          <w:szCs w:val="32"/>
        </w:rPr>
        <w:t>（二）一般公共预算当年拨款结构情况</w:t>
      </w:r>
      <w:r>
        <w:rPr>
          <w:rFonts w:ascii="楷体" w:eastAsia="楷体"/>
          <w:sz w:val="32"/>
          <w:szCs w:val="32"/>
        </w:rPr>
        <w:br/>
      </w:r>
      <w:r>
        <w:rPr>
          <w:rFonts w:ascii="楷体" w:eastAsia="楷体" w:hint="eastAsia"/>
          <w:sz w:val="32"/>
          <w:szCs w:val="32"/>
        </w:rPr>
        <w:t>（三）一般公共预算当年拨款具体使用情况</w:t>
      </w:r>
      <w:r>
        <w:rPr>
          <w:rFonts w:ascii="??" w:cs="宋体" w:hAnsi="??"/>
          <w:kern w:val="0"/>
          <w:sz w:val="16"/>
          <w:szCs w:val="16"/>
        </w:rPr>
        <w:br/>
      </w:r>
      <w:r>
        <w:rPr>
          <w:rFonts w:ascii="黑体" w:eastAsia="黑体" w:hint="eastAsia"/>
          <w:sz w:val="32"/>
          <w:szCs w:val="32"/>
        </w:rPr>
        <w:t>六、一般公共预算基本支出情况说明</w:t>
      </w:r>
      <w:r>
        <w:rPr>
          <w:rFonts w:ascii="黑体" w:eastAsia="黑体"/>
          <w:sz w:val="32"/>
          <w:szCs w:val="32"/>
        </w:rPr>
        <w:br/>
      </w:r>
      <w:r>
        <w:rPr>
          <w:rFonts w:ascii="黑体" w:eastAsia="黑体" w:hint="eastAsia"/>
          <w:sz w:val="32"/>
          <w:szCs w:val="32"/>
        </w:rPr>
        <w:t>七、“三公”经费财政拨款预算安排情况说明</w:t>
      </w:r>
      <w:r>
        <w:rPr>
          <w:rFonts w:ascii="黑体" w:eastAsia="黑体"/>
          <w:sz w:val="32"/>
          <w:szCs w:val="32"/>
        </w:rPr>
        <w:br/>
      </w:r>
      <w:r>
        <w:rPr>
          <w:rFonts w:ascii="黑体" w:eastAsia="黑体" w:hint="eastAsia"/>
          <w:sz w:val="32"/>
          <w:szCs w:val="32"/>
        </w:rPr>
        <w:t>八、政府性基金预算支出情况说明</w:t>
      </w:r>
      <w:r>
        <w:rPr>
          <w:rFonts w:ascii="黑体" w:eastAsia="黑体"/>
          <w:sz w:val="32"/>
          <w:szCs w:val="32"/>
        </w:rPr>
        <w:br/>
      </w:r>
      <w:r>
        <w:rPr>
          <w:rFonts w:ascii="黑体" w:eastAsia="黑体" w:hint="eastAsia"/>
          <w:sz w:val="32"/>
          <w:szCs w:val="32"/>
        </w:rPr>
        <w:t>九、其他重要事项的情况说明</w:t>
      </w:r>
      <w:r>
        <w:rPr>
          <w:rFonts w:ascii="黑体" w:eastAsia="黑体"/>
          <w:sz w:val="32"/>
          <w:szCs w:val="32"/>
        </w:rPr>
        <w:br/>
      </w:r>
      <w:r>
        <w:rPr>
          <w:rFonts w:ascii="黑体" w:eastAsia="黑体" w:hint="eastAsia"/>
          <w:sz w:val="32"/>
          <w:szCs w:val="32"/>
        </w:rPr>
        <w:t>十、名称解释</w:t>
      </w:r>
    </w:p>
    <w:p>
      <w:pPr>
        <w:rPr>
          <w:rFonts w:ascii="黑体" w:eastAsia="黑体"/>
          <w:sz w:val="32"/>
          <w:szCs w:val="32"/>
        </w:rPr>
      </w:pPr>
    </w:p>
    <w:p>
      <w:pPr>
        <w:widowControl/>
        <w:shd w:val="clear" w:color="auto" w:fill="FFFFFF"/>
        <w:spacing w:before="100" w:beforeAutospacing="1" w:after="100" w:afterAutospacing="1" w:line="290" w:lineRule="atLeast"/>
        <w:ind w:right="300"/>
        <w:jc w:val="left"/>
        <w:rPr>
          <w:rFonts w:ascii="??" w:cs="宋体" w:hAnsi="??"/>
          <w:kern w:val="0"/>
          <w:sz w:val="12"/>
          <w:szCs w:val="12"/>
        </w:rPr>
      </w:pPr>
    </w:p>
    <w:p>
      <w:pPr>
        <w:pStyle w:val="17"/>
        <w:rPr>
          <w:rFonts w:ascii="黑体" w:eastAsia="黑体"/>
          <w:sz w:val="32"/>
          <w:szCs w:val="32"/>
        </w:rPr>
      </w:pPr>
      <w:r>
        <w:rPr>
          <w:rFonts w:ascii="黑体" w:eastAsia="黑体" w:hint="eastAsia"/>
          <w:sz w:val="32"/>
          <w:szCs w:val="32"/>
        </w:rPr>
        <w:t>一、基本职能及主要工作</w:t>
      </w:r>
    </w:p>
    <w:p>
      <w:pPr>
        <w:ind w:firstLineChars="200" w:firstLine="640"/>
        <w:rPr>
          <w:rFonts w:ascii="楷体" w:eastAsia="楷体"/>
          <w:sz w:val="32"/>
          <w:szCs w:val="32"/>
        </w:rPr>
      </w:pPr>
      <w:r>
        <w:rPr>
          <w:rFonts w:ascii="楷体" w:eastAsia="楷体" w:hint="eastAsia"/>
          <w:sz w:val="32"/>
          <w:szCs w:val="32"/>
        </w:rPr>
        <w:t>（一）部门职能简介</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w:t>
      </w:r>
    </w:p>
    <w:p>
      <w:pPr>
        <w:ind w:firstLineChars="200" w:firstLine="640"/>
        <w:rPr>
          <w:rFonts w:ascii="楷体" w:eastAsia="楷体"/>
          <w:sz w:val="32"/>
          <w:szCs w:val="32"/>
        </w:rPr>
      </w:pPr>
      <w:r>
        <w:rPr>
          <w:rFonts w:ascii="楷体" w:eastAsia="楷体" w:hint="eastAsia"/>
          <w:sz w:val="32"/>
          <w:szCs w:val="32"/>
        </w:rPr>
        <w:t>（二）</w:t>
      </w:r>
      <w:r>
        <w:rPr>
          <w:rFonts w:ascii="楷体" w:eastAsia="楷体"/>
          <w:sz w:val="32"/>
          <w:szCs w:val="32"/>
        </w:rPr>
        <w:t>2025</w:t>
      </w:r>
      <w:r>
        <w:rPr>
          <w:rFonts w:ascii="楷体" w:eastAsia="楷体" w:hint="eastAsia"/>
          <w:sz w:val="32"/>
          <w:szCs w:val="32"/>
        </w:rPr>
        <w:t>年重点工作</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w:t>
      </w:r>
    </w:p>
    <w:p>
      <w:pPr>
        <w:pStyle w:val="17"/>
        <w:numPr>
          <w:ilvl w:val="0"/>
          <w:numId w:val="1"/>
        </w:numPr>
        <w:ind w:firstLineChars="0"/>
        <w:rPr>
          <w:rFonts w:ascii="黑体" w:eastAsia="黑体"/>
          <w:sz w:val="32"/>
          <w:szCs w:val="32"/>
        </w:rPr>
      </w:pPr>
      <w:r>
        <w:rPr>
          <w:rFonts w:ascii="黑体" w:eastAsia="黑体" w:hint="eastAsia"/>
          <w:sz w:val="32"/>
          <w:szCs w:val="32"/>
        </w:rPr>
        <w:t>部门预算单位构成</w:t>
      </w:r>
    </w:p>
    <w:p>
      <w:pPr>
        <w:spacing w:line="540" w:lineRule="exact"/>
        <w:ind w:firstLineChars="200" w:firstLine="640"/>
        <w:rPr>
          <w:rFonts w:ascii="仿宋_GB2312" w:eastAsia="仿宋_GB2312"/>
          <w:sz w:val="32"/>
          <w:szCs w:val="32"/>
        </w:rPr>
      </w:pPr>
      <w:r>
        <w:rPr>
          <w:rFonts w:ascii="仿宋_GB2312" w:eastAsia="仿宋_GB2312" w:hint="eastAsia"/>
          <w:sz w:val="32"/>
          <w:szCs w:val="32"/>
        </w:rPr>
        <w:t>……</w:t>
      </w:r>
    </w:p>
    <w:p>
      <w:pPr>
        <w:pStyle w:val="17"/>
        <w:ind w:left="720" w:firstLineChars="0" w:firstLine="0"/>
        <w:rPr>
          <w:rFonts w:ascii="黑体" w:eastAsia="黑体"/>
          <w:sz w:val="32"/>
          <w:szCs w:val="32"/>
        </w:rPr>
      </w:pPr>
      <w:r>
        <w:rPr>
          <w:rFonts w:ascii="黑体" w:eastAsia="黑体" w:hint="eastAsia"/>
          <w:sz w:val="32"/>
          <w:szCs w:val="32"/>
        </w:rPr>
        <w:t>三、收支预算情况说明</w:t>
      </w:r>
    </w:p>
    <w:p>
      <w:pPr>
        <w:ind w:firstLineChars="200" w:firstLine="640"/>
        <w:rPr>
          <w:rFonts w:ascii="楷体" w:eastAsia="楷体"/>
          <w:sz w:val="32"/>
          <w:szCs w:val="32"/>
        </w:rPr>
      </w:pPr>
      <w:r>
        <w:rPr>
          <w:rFonts w:ascii="楷体" w:eastAsia="楷体" w:hint="eastAsia"/>
          <w:sz w:val="32"/>
          <w:szCs w:val="32"/>
        </w:rPr>
        <w:t>（一）收入预算情况……</w:t>
      </w:r>
    </w:p>
    <w:p>
      <w:pPr>
        <w:jc w:val="left"/>
        <w:rPr>
          <w:rFonts w:ascii="楷体" w:eastAsia="楷体"/>
          <w:sz w:val="32"/>
          <w:szCs w:val="32"/>
        </w:rPr>
      </w:pPr>
      <w:r>
        <w:rPr>
          <w:rFonts w:ascii="楷体" w:eastAsia="楷体" w:cs="仿宋_GB2312" w:hint="eastAsia"/>
          <w:sz w:val="32"/>
          <w:szCs w:val="32"/>
        </w:rPr>
        <w:t>　　（二）支出预算情况……</w:t>
      </w:r>
    </w:p>
    <w:p>
      <w:pPr>
        <w:ind w:leftChars="304" w:left="638"/>
        <w:rPr>
          <w:rFonts w:ascii="仿宋_GB2312" w:eastAsia="仿宋_GB2312"/>
          <w:sz w:val="32"/>
          <w:szCs w:val="32"/>
        </w:rPr>
      </w:pPr>
      <w:r>
        <w:rPr>
          <w:rFonts w:ascii="黑体" w:eastAsia="黑体" w:hint="eastAsia"/>
          <w:sz w:val="32"/>
          <w:szCs w:val="32"/>
        </w:rPr>
        <w:t>四、财政拨款收支预算情况说明</w:t>
      </w:r>
      <w:r>
        <w:rPr>
          <w:rFonts w:ascii="ˎ̥" w:cs="宋体" w:hAnsi="ˎ̥"/>
          <w:sz w:val="16"/>
        </w:rPr>
        <w:br/>
      </w:r>
      <w:r>
        <w:rPr>
          <w:rFonts w:ascii="仿宋_GB2312" w:eastAsia="仿宋_GB2312" w:cs="仿宋_GB2312" w:hint="eastAsia"/>
          <w:sz w:val="32"/>
          <w:szCs w:val="32"/>
        </w:rPr>
        <w:t>部门（单位）</w:t>
      </w:r>
      <w:r>
        <w:rPr>
          <w:rFonts w:ascii="仿宋_GB2312" w:eastAsia="仿宋_GB2312" w:hint="eastAsia"/>
          <w:sz w:val="32"/>
          <w:szCs w:val="32"/>
        </w:rPr>
        <w:t>2025年财政拨款收支总预算XX万元,比</w:t>
      </w:r>
    </w:p>
    <w:p>
      <w:pPr>
        <w:rPr>
          <w:rFonts w:ascii="仿宋_GB2312" w:eastAsia="仿宋_GB2312"/>
          <w:sz w:val="32"/>
          <w:szCs w:val="32"/>
        </w:rPr>
      </w:pPr>
      <w:r>
        <w:rPr>
          <w:rFonts w:ascii="仿宋_GB2312" w:eastAsia="仿宋_GB2312" w:hint="eastAsia"/>
          <w:sz w:val="32"/>
          <w:szCs w:val="32"/>
        </w:rPr>
        <w:t>2024年财政拨款收支总预算增加/减少XX万元，主要原因:……</w:t>
      </w:r>
    </w:p>
    <w:p>
      <w:pPr>
        <w:spacing w:line="54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收入包括：……</w:t>
      </w:r>
    </w:p>
    <w:p>
      <w:pPr>
        <w:spacing w:line="540" w:lineRule="exact"/>
        <w:ind w:firstLineChars="200" w:firstLine="640"/>
        <w:rPr>
          <w:rFonts w:ascii="仿宋_GB2312" w:eastAsia="仿宋_GB2312"/>
          <w:sz w:val="32"/>
          <w:szCs w:val="32"/>
        </w:rPr>
      </w:pPr>
      <w:r>
        <w:rPr>
          <w:rFonts w:ascii="仿宋_GB2312" w:eastAsia="仿宋_GB2312" w:cs="仿宋_GB2312" w:hint="eastAsia"/>
          <w:sz w:val="32"/>
          <w:szCs w:val="32"/>
        </w:rPr>
        <w:t>支出包括：</w:t>
      </w:r>
      <w:r>
        <w:rPr>
          <w:rFonts w:ascii="仿宋_GB2312" w:eastAsia="仿宋_GB2312" w:hint="eastAsia"/>
          <w:sz w:val="32"/>
          <w:szCs w:val="32"/>
        </w:rPr>
        <w:t>……</w:t>
      </w:r>
    </w:p>
    <w:p>
      <w:pPr>
        <w:ind w:firstLineChars="200" w:firstLine="640"/>
        <w:rPr>
          <w:rFonts w:ascii="黑体" w:eastAsia="黑体"/>
          <w:sz w:val="32"/>
          <w:szCs w:val="32"/>
        </w:rPr>
      </w:pPr>
      <w:r>
        <w:rPr>
          <w:rFonts w:ascii="黑体" w:eastAsia="黑体" w:hint="eastAsia"/>
          <w:sz w:val="32"/>
          <w:szCs w:val="32"/>
        </w:rPr>
        <w:t>五、一般公共预算当年拨款情况说明</w:t>
      </w:r>
    </w:p>
    <w:p>
      <w:pPr>
        <w:pStyle w:val="18"/>
        <w:spacing w:before="0" w:line="360" w:lineRule="auto"/>
        <w:ind w:firstLine="660"/>
        <w:rPr>
          <w:rFonts w:ascii="楷体" w:eastAsia="楷体" w:cs="仿宋_GB2312"/>
          <w:kern w:val="2"/>
          <w:sz w:val="32"/>
          <w:szCs w:val="32"/>
        </w:rPr>
      </w:pPr>
      <w:r>
        <w:rPr>
          <w:rFonts w:ascii="楷体" w:eastAsia="楷体" w:cs="仿宋_GB2312" w:hint="eastAsia"/>
          <w:kern w:val="2"/>
          <w:sz w:val="32"/>
          <w:szCs w:val="32"/>
        </w:rPr>
        <w:t>（一）一般公共预算当年拨款规模变化情况</w:t>
      </w:r>
    </w:p>
    <w:p>
      <w:pPr>
        <w:pStyle w:val="18"/>
        <w:spacing w:before="0" w:line="360" w:lineRule="auto"/>
        <w:ind w:firstLine="660"/>
        <w:rPr>
          <w:rFonts w:cs="仿宋_GB2312"/>
          <w:kern w:val="2"/>
          <w:sz w:val="32"/>
          <w:szCs w:val="32"/>
        </w:rPr>
      </w:pPr>
      <w:r>
        <w:rPr>
          <w:rFonts w:cs="仿宋_GB2312" w:hint="eastAsia"/>
          <w:kern w:val="2"/>
          <w:sz w:val="32"/>
          <w:szCs w:val="32"/>
        </w:rPr>
        <w:t>部门（单位）</w:t>
      </w:r>
      <w:r>
        <w:rPr>
          <w:rFonts w:cs="宋体" w:hint="eastAsia"/>
          <w:sz w:val="32"/>
          <w:szCs w:val="32"/>
        </w:rPr>
        <w:t>2025年一般公共预算当年拨款XX万元，比2024年预算数增加/</w:t>
      </w:r>
      <w:r>
        <w:rPr>
          <w:rFonts w:hint="eastAsia"/>
          <w:sz w:val="32"/>
          <w:szCs w:val="32"/>
        </w:rPr>
        <w:t>减少</w:t>
      </w:r>
      <w:r>
        <w:rPr>
          <w:rFonts w:cs="宋体" w:hint="eastAsia"/>
          <w:sz w:val="32"/>
          <w:szCs w:val="32"/>
        </w:rPr>
        <w:t>XX万元，主要原因:……</w:t>
      </w:r>
      <w:r>
        <w:rPr>
          <w:rFonts w:cs="仿宋_GB2312" w:hint="eastAsia"/>
          <w:kern w:val="2"/>
          <w:sz w:val="32"/>
          <w:szCs w:val="32"/>
        </w:rPr>
        <w:t>　　</w:t>
      </w:r>
    </w:p>
    <w:p>
      <w:pPr>
        <w:pStyle w:val="18"/>
        <w:spacing w:before="0" w:line="360" w:lineRule="auto"/>
        <w:ind w:leftChars="310" w:left="651"/>
        <w:jc w:val="left"/>
        <w:rPr>
          <w:rFonts w:cs="宋体" w:hint="eastAsia"/>
          <w:sz w:val="32"/>
          <w:szCs w:val="32"/>
        </w:rPr>
      </w:pPr>
      <w:r>
        <w:rPr>
          <w:rFonts w:ascii="楷体" w:eastAsia="楷体" w:cs="宋体" w:hint="eastAsia"/>
          <w:sz w:val="32"/>
          <w:szCs w:val="32"/>
        </w:rPr>
        <w:t>（二）一般公共预算当年拨款结构情况</w:t>
      </w:r>
      <w:r>
        <w:rPr>
          <w:rFonts w:cs="宋体" w:hint="eastAsia"/>
          <w:sz w:val="32"/>
          <w:szCs w:val="32"/>
        </w:rPr>
        <w:br/>
        <w:t xml:space="preserve">一般公共服务支出XX万元，占XX%；社会保障和就业支        </w:t>
      </w:r>
    </w:p>
    <w:p>
      <w:pPr>
        <w:pStyle w:val="18"/>
        <w:spacing w:before="0" w:line="360" w:lineRule="auto"/>
        <w:jc w:val="left"/>
        <w:rPr>
          <w:rFonts w:cs="仿宋_GB2312"/>
          <w:kern w:val="2"/>
          <w:sz w:val="32"/>
          <w:szCs w:val="32"/>
        </w:rPr>
      </w:pPr>
      <w:r>
        <w:rPr>
          <w:rFonts w:cs="宋体" w:hint="eastAsia"/>
          <w:sz w:val="32"/>
          <w:szCs w:val="32"/>
        </w:rPr>
        <w:t>占XX%；住房保障支出XX万元，占XX%……</w:t>
      </w:r>
    </w:p>
    <w:p>
      <w:pPr>
        <w:pStyle w:val="18"/>
        <w:spacing w:before="0" w:line="360" w:lineRule="auto"/>
        <w:ind w:firstLine="660"/>
        <w:rPr>
          <w:rFonts w:ascii="楷体" w:eastAsia="楷体" w:cs="仿宋_GB2312"/>
          <w:kern w:val="2"/>
          <w:sz w:val="32"/>
          <w:szCs w:val="32"/>
        </w:rPr>
      </w:pPr>
      <w:r>
        <w:rPr>
          <w:rFonts w:ascii="楷体" w:eastAsia="楷体" w:cs="仿宋_GB2312" w:hint="eastAsia"/>
          <w:kern w:val="2"/>
          <w:sz w:val="32"/>
          <w:szCs w:val="32"/>
        </w:rPr>
        <w:t>（三）一般公共预算当年拨款具体使用情况</w:t>
      </w:r>
    </w:p>
    <w:p>
      <w:pPr>
        <w:pStyle w:val="18"/>
        <w:spacing w:before="0" w:line="360" w:lineRule="auto"/>
        <w:ind w:firstLineChars="306" w:firstLine="979"/>
        <w:rPr>
          <w:rFonts w:cs="仿宋_GB2312"/>
          <w:kern w:val="2"/>
          <w:sz w:val="32"/>
          <w:szCs w:val="32"/>
        </w:rPr>
      </w:pPr>
      <w:r>
        <w:rPr>
          <w:rFonts w:cs="仿宋_GB2312" w:hint="eastAsia"/>
          <w:kern w:val="2"/>
          <w:sz w:val="32"/>
          <w:szCs w:val="32"/>
        </w:rPr>
        <w:t>……</w:t>
      </w:r>
    </w:p>
    <w:p>
      <w:pPr>
        <w:pStyle w:val="18"/>
        <w:spacing w:before="0" w:line="360" w:lineRule="auto"/>
        <w:ind w:firstLine="660"/>
        <w:rPr>
          <w:rFonts w:ascii="黑体" w:eastAsia="黑体"/>
          <w:sz w:val="32"/>
          <w:szCs w:val="32"/>
        </w:rPr>
      </w:pPr>
      <w:r>
        <w:rPr>
          <w:rFonts w:ascii="黑体" w:eastAsia="黑体" w:hint="eastAsia"/>
          <w:sz w:val="32"/>
          <w:szCs w:val="32"/>
        </w:rPr>
        <w:t>六、一般公共预算基本支出情况说明</w:t>
      </w:r>
    </w:p>
    <w:p>
      <w:pPr>
        <w:pStyle w:val="18"/>
        <w:spacing w:before="0" w:line="360" w:lineRule="auto"/>
        <w:ind w:firstLineChars="200" w:firstLine="640"/>
        <w:rPr>
          <w:rFonts w:cs="仿宋_GB2312"/>
          <w:kern w:val="2"/>
          <w:sz w:val="32"/>
          <w:szCs w:val="32"/>
        </w:rPr>
      </w:pPr>
      <w:r>
        <w:rPr>
          <w:rFonts w:cs="仿宋_GB2312" w:hint="eastAsia"/>
          <w:kern w:val="2"/>
          <w:sz w:val="32"/>
          <w:szCs w:val="32"/>
        </w:rPr>
        <w:t>部门（单位）2025年一般公共预算基本支出XX万元，其中：人员经费XX万元，主要包括：基本工资、津贴补贴、奖金、其他社会保障缴费、绩效工资、机关事业单位基本养老保险缴费、职业年金缴费、其他工资福利支出、离休费、奖励金、住房公积金、其他对个人和家庭的补助支出。</w:t>
      </w:r>
    </w:p>
    <w:p>
      <w:pPr>
        <w:pStyle w:val="18"/>
        <w:spacing w:before="0" w:line="360" w:lineRule="auto"/>
        <w:ind w:firstLineChars="200" w:firstLine="640"/>
        <w:rPr>
          <w:rFonts w:ascii="黑体" w:eastAsia="黑体"/>
          <w:sz w:val="32"/>
          <w:szCs w:val="32"/>
        </w:rPr>
      </w:pPr>
      <w:r>
        <w:rPr>
          <w:rFonts w:cs="仿宋_GB2312" w:hint="eastAsia"/>
          <w:kern w:val="2"/>
          <w:sz w:val="32"/>
          <w:szCs w:val="32"/>
        </w:rPr>
        <w:t>公用经费XX万元，主要包括：办公费、印刷费、手续费、水费、电费、邮电费、差旅费、维修（护）费、租赁费、会议费、培训费、劳务费、工会经费、福利费、其他交通工具运行维护费、其他商品和服务支出。</w:t>
        <w:br/>
      </w:r>
      <w:r>
        <w:rPr>
          <w:rFonts w:ascii="黑体" w:eastAsia="黑体" w:hint="eastAsia"/>
          <w:sz w:val="32"/>
          <w:szCs w:val="32"/>
        </w:rPr>
        <w:t xml:space="preserve">    七、“三公”经费财政拨款预算安排情况说明</w:t>
      </w:r>
    </w:p>
    <w:p>
      <w:pPr>
        <w:pStyle w:val="18"/>
        <w:spacing w:before="0" w:line="360" w:lineRule="auto"/>
        <w:ind w:firstLineChars="200" w:firstLine="640"/>
        <w:rPr>
          <w:rFonts w:cs="仿宋_GB2312"/>
          <w:kern w:val="2"/>
          <w:sz w:val="32"/>
          <w:szCs w:val="32"/>
        </w:rPr>
      </w:pPr>
      <w:r>
        <w:rPr>
          <w:rFonts w:cs="仿宋_GB2312" w:hint="eastAsia"/>
          <w:kern w:val="2"/>
          <w:sz w:val="32"/>
          <w:szCs w:val="32"/>
        </w:rPr>
        <w:t>部门（单位）2025年“三公”经费财政拨款预算数XX万元，其中：因公出国（境）经费XX万元，公务接待费XX万元，公务用车购置及运行维护费XX万元。</w:t>
      </w:r>
    </w:p>
    <w:p>
      <w:pPr>
        <w:pStyle w:val="18"/>
        <w:spacing w:before="0" w:line="360" w:lineRule="auto"/>
        <w:ind w:firstLineChars="200" w:firstLine="640"/>
        <w:rPr>
          <w:rFonts w:cs="仿宋_GB2312"/>
          <w:kern w:val="2"/>
          <w:sz w:val="32"/>
          <w:szCs w:val="32"/>
        </w:rPr>
      </w:pPr>
      <w:r>
        <w:rPr>
          <w:rFonts w:cs="仿宋_GB2312" w:hint="eastAsia"/>
          <w:kern w:val="2"/>
          <w:sz w:val="32"/>
          <w:szCs w:val="32"/>
        </w:rPr>
        <w:t>（一）2025年因公出国（境）经费XX万元。</w:t>
      </w:r>
    </w:p>
    <w:p>
      <w:pPr>
        <w:pStyle w:val="18"/>
        <w:spacing w:before="0" w:line="360" w:lineRule="auto"/>
        <w:ind w:firstLineChars="200" w:firstLine="640"/>
        <w:rPr>
          <w:rFonts w:cs="仿宋_GB2312"/>
          <w:color w:val="000000"/>
          <w:kern w:val="2"/>
          <w:sz w:val="32"/>
          <w:szCs w:val="32"/>
        </w:rPr>
      </w:pPr>
      <w:r>
        <w:rPr>
          <w:rFonts w:cs="仿宋_GB2312" w:hint="eastAsia"/>
          <w:kern w:val="2"/>
          <w:sz w:val="32"/>
          <w:szCs w:val="32"/>
        </w:rPr>
        <w:t>（二）</w:t>
      </w:r>
      <w:r>
        <w:rPr>
          <w:rFonts w:cs="仿宋_GB2312" w:hint="eastAsia"/>
          <w:color w:val="000000"/>
          <w:kern w:val="2"/>
          <w:sz w:val="32"/>
          <w:szCs w:val="32"/>
        </w:rPr>
        <w:t>2025年公务接待经费XX万元。较2024年预算经费</w:t>
      </w:r>
      <w:r>
        <w:rPr>
          <w:rFonts w:cs="宋体" w:hint="eastAsia"/>
          <w:sz w:val="32"/>
          <w:szCs w:val="32"/>
        </w:rPr>
        <w:t>增加/</w:t>
      </w:r>
      <w:r>
        <w:rPr>
          <w:rFonts w:cs="仿宋_GB2312" w:hint="eastAsia"/>
          <w:color w:val="000000"/>
          <w:kern w:val="2"/>
          <w:sz w:val="32"/>
          <w:szCs w:val="32"/>
        </w:rPr>
        <w:t>减少XX万元，</w:t>
      </w:r>
      <w:r>
        <w:rPr>
          <w:rFonts w:cs="宋体" w:hint="eastAsia"/>
          <w:sz w:val="32"/>
          <w:szCs w:val="32"/>
        </w:rPr>
        <w:t>增长</w:t>
      </w:r>
      <w:r>
        <w:rPr>
          <w:rFonts w:cs="仿宋_GB2312" w:hint="eastAsia"/>
          <w:color w:val="000000"/>
          <w:kern w:val="2"/>
          <w:sz w:val="32"/>
          <w:szCs w:val="32"/>
        </w:rPr>
        <w:t>XX%，主要原因……</w:t>
      </w:r>
    </w:p>
    <w:p>
      <w:pPr>
        <w:pStyle w:val="18"/>
        <w:spacing w:before="0" w:line="360" w:lineRule="auto"/>
        <w:ind w:firstLineChars="200" w:firstLine="640"/>
        <w:rPr>
          <w:rFonts w:cs="仿宋_GB2312"/>
          <w:color w:val="000000"/>
          <w:kern w:val="2"/>
          <w:sz w:val="32"/>
          <w:szCs w:val="32"/>
        </w:rPr>
      </w:pPr>
      <w:r>
        <w:rPr>
          <w:rFonts w:cs="仿宋_GB2312" w:hint="eastAsia"/>
          <w:color w:val="000000"/>
          <w:kern w:val="2"/>
          <w:sz w:val="32"/>
          <w:szCs w:val="32"/>
        </w:rPr>
        <w:t>（三）2025年公务用车购置及运行维护费XX万元。较2024年预算经费</w:t>
      </w:r>
      <w:r>
        <w:rPr>
          <w:rFonts w:cs="宋体" w:hint="eastAsia"/>
          <w:sz w:val="32"/>
          <w:szCs w:val="32"/>
        </w:rPr>
        <w:t>增加/</w:t>
      </w:r>
      <w:r>
        <w:rPr>
          <w:rFonts w:cs="仿宋_GB2312" w:hint="eastAsia"/>
          <w:color w:val="000000"/>
          <w:kern w:val="2"/>
          <w:sz w:val="32"/>
          <w:szCs w:val="32"/>
        </w:rPr>
        <w:t>减少XX万元，增长XX%，主要原因……</w:t>
      </w:r>
    </w:p>
    <w:p>
      <w:pPr>
        <w:pStyle w:val="18"/>
        <w:spacing w:before="0" w:line="360" w:lineRule="auto"/>
        <w:ind w:firstLineChars="200" w:firstLine="640"/>
        <w:rPr>
          <w:rFonts w:ascii="黑体" w:eastAsia="黑体"/>
          <w:sz w:val="32"/>
          <w:szCs w:val="32"/>
        </w:rPr>
      </w:pPr>
      <w:r>
        <w:rPr>
          <w:rFonts w:ascii="黑体" w:eastAsia="黑体" w:hint="eastAsia"/>
          <w:sz w:val="32"/>
          <w:szCs w:val="32"/>
        </w:rPr>
        <w:t>八、政府性基金</w:t>
      </w:r>
      <w:r>
        <w:rPr>
          <w:rFonts w:ascii="黑体" w:eastAsia="黑体" w:cs="仿宋_GB2312" w:hint="eastAsia"/>
          <w:kern w:val="2"/>
          <w:sz w:val="32"/>
          <w:szCs w:val="32"/>
        </w:rPr>
        <w:t>预算</w:t>
      </w:r>
      <w:r>
        <w:rPr>
          <w:rFonts w:ascii="黑体" w:eastAsia="黑体" w:hint="eastAsia"/>
          <w:sz w:val="32"/>
          <w:szCs w:val="32"/>
        </w:rPr>
        <w:t>支出情况说明</w:t>
      </w:r>
    </w:p>
    <w:p>
      <w:pPr>
        <w:pStyle w:val="18"/>
        <w:spacing w:before="0" w:line="360" w:lineRule="auto"/>
        <w:ind w:firstLineChars="200" w:firstLine="640"/>
        <w:rPr>
          <w:rFonts w:cs="仿宋_GB2312"/>
          <w:kern w:val="2"/>
          <w:sz w:val="32"/>
          <w:szCs w:val="32"/>
        </w:rPr>
      </w:pPr>
      <w:r>
        <w:rPr>
          <w:rFonts w:cs="仿宋_GB2312" w:hint="eastAsia"/>
          <w:kern w:val="2"/>
          <w:sz w:val="32"/>
          <w:szCs w:val="32"/>
        </w:rPr>
        <w:t>部门（单位）2025年政府性基金预算拨款安排的支出XX万元。较2024年预算经费</w:t>
      </w:r>
      <w:r>
        <w:rPr>
          <w:rFonts w:cs="宋体" w:hint="eastAsia"/>
          <w:sz w:val="32"/>
          <w:szCs w:val="32"/>
        </w:rPr>
        <w:t>增加/</w:t>
      </w:r>
      <w:r>
        <w:rPr>
          <w:rFonts w:cs="仿宋_GB2312" w:hint="eastAsia"/>
          <w:color w:val="000000"/>
          <w:kern w:val="2"/>
          <w:sz w:val="32"/>
          <w:szCs w:val="32"/>
        </w:rPr>
        <w:t>减少</w:t>
      </w:r>
      <w:r>
        <w:rPr>
          <w:rFonts w:cs="仿宋_GB2312" w:hint="eastAsia"/>
          <w:kern w:val="2"/>
          <w:sz w:val="32"/>
          <w:szCs w:val="32"/>
        </w:rPr>
        <w:t>XX万元，增长XX%。</w:t>
      </w:r>
    </w:p>
    <w:p>
      <w:pPr>
        <w:pStyle w:val="18"/>
        <w:spacing w:before="0" w:line="360" w:lineRule="auto"/>
        <w:ind w:firstLineChars="200" w:firstLine="640"/>
        <w:rPr>
          <w:rFonts w:ascii="黑体" w:eastAsia="黑体"/>
          <w:sz w:val="32"/>
          <w:szCs w:val="32"/>
        </w:rPr>
      </w:pPr>
      <w:r>
        <w:rPr>
          <w:rFonts w:ascii="黑体" w:eastAsia="黑体" w:hint="eastAsia"/>
          <w:sz w:val="32"/>
          <w:szCs w:val="32"/>
        </w:rPr>
        <w:t>九、其他重要事项的情况说明</w:t>
      </w:r>
    </w:p>
    <w:p>
      <w:pPr>
        <w:pStyle w:val="18"/>
        <w:spacing w:before="0" w:line="360" w:lineRule="auto"/>
        <w:ind w:firstLineChars="200" w:firstLine="640"/>
        <w:rPr>
          <w:rFonts w:cs="仿宋_GB2312"/>
          <w:color w:val="FF0000"/>
          <w:kern w:val="2"/>
          <w:sz w:val="32"/>
          <w:szCs w:val="32"/>
        </w:rPr>
      </w:pPr>
      <w:r>
        <w:rPr>
          <w:rFonts w:ascii="楷体" w:eastAsia="楷体" w:cs="仿宋_GB2312" w:hint="eastAsia"/>
          <w:kern w:val="2"/>
          <w:sz w:val="32"/>
          <w:szCs w:val="32"/>
        </w:rPr>
        <w:t>（一）机关运行经费</w:t>
      </w:r>
      <w:r>
        <w:rPr>
          <w:rFonts w:cs="仿宋_GB2312" w:hint="eastAsia"/>
          <w:kern w:val="2"/>
          <w:sz w:val="32"/>
          <w:szCs w:val="32"/>
        </w:rPr>
        <w:br/>
        <w:t>　  部门（单位）2025年机关运行经费财政拨款预算为XX万元，比2024年预算</w:t>
      </w:r>
      <w:r>
        <w:rPr>
          <w:rFonts w:cs="宋体" w:hint="eastAsia"/>
          <w:sz w:val="32"/>
          <w:szCs w:val="32"/>
        </w:rPr>
        <w:t>增加/</w:t>
      </w:r>
      <w:r>
        <w:rPr>
          <w:rFonts w:cs="仿宋_GB2312" w:hint="eastAsia"/>
          <w:color w:val="000000"/>
          <w:kern w:val="2"/>
          <w:sz w:val="32"/>
          <w:szCs w:val="32"/>
        </w:rPr>
        <w:t xml:space="preserve">减少XX万元，减少XX%。 </w:t>
      </w:r>
    </w:p>
    <w:p>
      <w:pPr>
        <w:pStyle w:val="18"/>
        <w:spacing w:before="0" w:line="360" w:lineRule="auto"/>
        <w:ind w:firstLineChars="200" w:firstLine="640"/>
        <w:rPr>
          <w:rFonts w:cs="仿宋_GB2312"/>
          <w:kern w:val="2"/>
          <w:sz w:val="32"/>
          <w:szCs w:val="32"/>
        </w:rPr>
      </w:pPr>
      <w:r>
        <w:rPr>
          <w:rFonts w:ascii="楷体" w:eastAsia="楷体" w:cs="仿宋_GB2312" w:hint="eastAsia"/>
          <w:kern w:val="2"/>
          <w:sz w:val="32"/>
          <w:szCs w:val="32"/>
        </w:rPr>
        <w:t>（二）政府采购情况</w:t>
      </w:r>
      <w:r>
        <w:rPr>
          <w:rFonts w:cs="仿宋_GB2312" w:hint="eastAsia"/>
          <w:kern w:val="2"/>
          <w:sz w:val="32"/>
          <w:szCs w:val="32"/>
        </w:rPr>
        <w:br/>
        <w:t>　</w:t>
      </w:r>
      <w:r>
        <w:rPr>
          <w:rFonts w:cs="仿宋_GB2312" w:hint="eastAsia"/>
          <w:color w:val="000000"/>
          <w:kern w:val="2"/>
          <w:sz w:val="32"/>
          <w:szCs w:val="32"/>
        </w:rPr>
        <w:t>　 2025年</w:t>
      </w:r>
      <w:r>
        <w:rPr>
          <w:rFonts w:cs="仿宋_GB2312" w:hint="eastAsia"/>
          <w:kern w:val="2"/>
          <w:sz w:val="32"/>
          <w:szCs w:val="32"/>
        </w:rPr>
        <w:t>部门（单位）</w:t>
      </w:r>
      <w:r>
        <w:rPr>
          <w:rFonts w:cs="仿宋_GB2312" w:hint="eastAsia"/>
          <w:color w:val="000000"/>
          <w:kern w:val="2"/>
          <w:sz w:val="32"/>
          <w:szCs w:val="32"/>
        </w:rPr>
        <w:t>安排政府采购预算XX万元，主要</w:t>
      </w:r>
      <w:r>
        <w:rPr>
          <w:rFonts w:cs="仿宋_GB2312" w:hint="eastAsia"/>
          <w:kern w:val="2"/>
          <w:sz w:val="32"/>
          <w:szCs w:val="32"/>
        </w:rPr>
        <w:t>用于……</w:t>
      </w:r>
    </w:p>
    <w:p>
      <w:pPr>
        <w:pStyle w:val="18"/>
        <w:spacing w:before="0" w:line="360" w:lineRule="auto"/>
        <w:ind w:firstLineChars="200" w:firstLine="640"/>
        <w:rPr>
          <w:rFonts w:ascii="楷体" w:eastAsia="楷体" w:cs="仿宋_GB2312"/>
          <w:kern w:val="2"/>
          <w:sz w:val="32"/>
          <w:szCs w:val="32"/>
        </w:rPr>
      </w:pPr>
      <w:r>
        <w:rPr>
          <w:rFonts w:ascii="楷体" w:eastAsia="楷体" w:cs="仿宋_GB2312" w:hint="eastAsia"/>
          <w:kern w:val="2"/>
          <w:sz w:val="32"/>
          <w:szCs w:val="32"/>
        </w:rPr>
        <w:t>（三）国有资产占有使用情况</w:t>
      </w:r>
    </w:p>
    <w:p>
      <w:pPr>
        <w:pStyle w:val="18"/>
        <w:spacing w:before="0" w:line="360" w:lineRule="auto"/>
        <w:ind w:firstLineChars="200" w:firstLine="640"/>
        <w:rPr>
          <w:rFonts w:cs="仿宋_GB2312"/>
          <w:kern w:val="2"/>
          <w:sz w:val="32"/>
          <w:szCs w:val="32"/>
        </w:rPr>
      </w:pPr>
      <w:r>
        <w:rPr>
          <w:rFonts w:cs="仿宋_GB2312" w:hint="eastAsia"/>
          <w:kern w:val="2"/>
          <w:sz w:val="32"/>
          <w:szCs w:val="32"/>
        </w:rPr>
        <w:t>截至2024年12月31日，我单位固定资产XX万元。</w:t>
      </w:r>
    </w:p>
    <w:p>
      <w:pPr>
        <w:pStyle w:val="18"/>
        <w:spacing w:before="0" w:line="360" w:lineRule="auto"/>
        <w:ind w:firstLineChars="200" w:firstLine="640"/>
        <w:rPr>
          <w:rFonts w:ascii="黑体" w:eastAsia="黑体"/>
          <w:sz w:val="32"/>
          <w:szCs w:val="32"/>
        </w:rPr>
      </w:pPr>
      <w:r>
        <w:rPr>
          <w:rFonts w:ascii="楷体" w:eastAsia="楷体" w:cs="仿宋_GB2312" w:hint="eastAsia"/>
          <w:kern w:val="2"/>
          <w:sz w:val="32"/>
          <w:szCs w:val="32"/>
        </w:rPr>
        <w:t>（四）绩效目标设置情况</w:t>
      </w:r>
      <w:r>
        <w:rPr>
          <w:rFonts w:cs="仿宋_GB2312" w:hint="eastAsia"/>
          <w:kern w:val="2"/>
          <w:sz w:val="32"/>
          <w:szCs w:val="32"/>
        </w:rPr>
        <w:br/>
        <w:t>　　2025年部门（单位）通用项目和专用项目均按要求实行绩效目标管理，涉及一般公共预算当年拨款XX万元。</w:t>
      </w:r>
    </w:p>
    <w:p>
      <w:pPr>
        <w:pStyle w:val="18"/>
        <w:spacing w:before="0" w:line="360" w:lineRule="auto"/>
        <w:ind w:firstLineChars="200" w:firstLine="640"/>
        <w:rPr>
          <w:rFonts w:cs="仿宋_GB2312"/>
          <w:kern w:val="2"/>
          <w:sz w:val="32"/>
          <w:szCs w:val="32"/>
        </w:rPr>
      </w:pPr>
      <w:r>
        <w:rPr>
          <w:rFonts w:ascii="黑体" w:eastAsia="黑体" w:hint="eastAsia"/>
          <w:sz w:val="32"/>
          <w:szCs w:val="32"/>
        </w:rPr>
        <w:t xml:space="preserve">十、名称解释 </w:t>
      </w:r>
      <w:r>
        <w:rPr>
          <w:rFonts w:cs="仿宋_GB2312" w:hint="eastAsia"/>
          <w:sz w:val="32"/>
          <w:szCs w:val="32"/>
        </w:rPr>
        <w:br/>
      </w:r>
      <w:r>
        <w:rPr>
          <w:rFonts w:ascii="??" w:eastAsia="宋体" w:cs="宋体" w:hAnsi="??" w:hint="eastAsia"/>
          <w:sz w:val="16"/>
        </w:rPr>
        <w:t xml:space="preserve">　　   </w:t>
      </w:r>
      <w:r>
        <w:rPr>
          <w:rFonts w:ascii="楷体" w:eastAsia="楷体" w:cs="仿宋_GB2312" w:hint="eastAsia"/>
          <w:kern w:val="2"/>
          <w:sz w:val="32"/>
          <w:szCs w:val="32"/>
        </w:rPr>
        <w:t>（一）财政拨款收入</w:t>
      </w:r>
      <w:r>
        <w:rPr>
          <w:rFonts w:cs="仿宋_GB2312" w:hint="eastAsia"/>
          <w:kern w:val="2"/>
          <w:sz w:val="32"/>
          <w:szCs w:val="32"/>
        </w:rPr>
        <w:t>：指由财政拨款形成的部门收入。按现行管理制度，部门预算中反映的财政拨款仅包括一般公共预算拨款和政府性基金预算拨款。</w:t>
      </w:r>
      <w:r>
        <w:rPr>
          <w:rFonts w:cs="仿宋_GB2312"/>
          <w:kern w:val="2"/>
          <w:sz w:val="32"/>
          <w:szCs w:val="32"/>
        </w:rPr>
        <w:br/>
      </w:r>
      <w:r>
        <w:rPr>
          <w:rFonts w:cs="仿宋_GB2312" w:hint="eastAsia"/>
          <w:kern w:val="2"/>
          <w:sz w:val="32"/>
          <w:szCs w:val="32"/>
        </w:rPr>
        <w:t>　　</w:t>
      </w:r>
      <w:r>
        <w:rPr>
          <w:rFonts w:ascii="楷体" w:eastAsia="楷体" w:cs="仿宋_GB2312" w:hint="eastAsia"/>
          <w:kern w:val="2"/>
          <w:sz w:val="32"/>
          <w:szCs w:val="32"/>
        </w:rPr>
        <w:t>（二）事业收入</w:t>
      </w:r>
      <w:r>
        <w:rPr>
          <w:rFonts w:cs="仿宋_GB2312" w:hint="eastAsia"/>
          <w:kern w:val="2"/>
          <w:sz w:val="32"/>
          <w:szCs w:val="32"/>
        </w:rPr>
        <w:t>：指所属事业单位开展专业业务活动及辅助活动所取得的收入。</w:t>
      </w:r>
      <w:r>
        <w:rPr>
          <w:rFonts w:cs="仿宋_GB2312"/>
          <w:kern w:val="2"/>
          <w:sz w:val="32"/>
          <w:szCs w:val="32"/>
        </w:rPr>
        <w:br/>
      </w:r>
      <w:r>
        <w:rPr>
          <w:rFonts w:cs="仿宋_GB2312" w:hint="eastAsia"/>
          <w:kern w:val="2"/>
          <w:sz w:val="32"/>
          <w:szCs w:val="32"/>
        </w:rPr>
        <w:t>　　</w:t>
      </w:r>
      <w:r>
        <w:rPr>
          <w:rFonts w:ascii="楷体" w:eastAsia="楷体" w:cs="仿宋_GB2312" w:hint="eastAsia"/>
          <w:kern w:val="2"/>
          <w:sz w:val="32"/>
          <w:szCs w:val="32"/>
        </w:rPr>
        <w:t>（三）事业单位经营收入</w:t>
      </w:r>
      <w:r>
        <w:rPr>
          <w:rFonts w:cs="仿宋_GB2312" w:hint="eastAsia"/>
          <w:kern w:val="2"/>
          <w:sz w:val="32"/>
          <w:szCs w:val="32"/>
        </w:rPr>
        <w:t>：指所属事业单位在专业业务活动及其辅助活动之外开展非独立核算经营活动取得的收入。</w:t>
      </w:r>
      <w:r>
        <w:rPr>
          <w:rFonts w:cs="仿宋_GB2312"/>
          <w:kern w:val="2"/>
          <w:sz w:val="32"/>
          <w:szCs w:val="32"/>
        </w:rPr>
        <w:br/>
      </w:r>
      <w:r>
        <w:rPr>
          <w:rFonts w:cs="仿宋_GB2312" w:hint="eastAsia"/>
          <w:kern w:val="2"/>
          <w:sz w:val="32"/>
          <w:szCs w:val="32"/>
        </w:rPr>
        <w:t>　</w:t>
      </w:r>
      <w:r>
        <w:rPr>
          <w:rFonts w:ascii="楷体" w:eastAsia="楷体" w:cs="仿宋_GB2312" w:hint="eastAsia"/>
          <w:kern w:val="2"/>
          <w:sz w:val="32"/>
          <w:szCs w:val="32"/>
        </w:rPr>
        <w:t>　（四）其他收入</w:t>
      </w:r>
      <w:r>
        <w:rPr>
          <w:rFonts w:cs="仿宋_GB2312" w:hint="eastAsia"/>
          <w:kern w:val="2"/>
          <w:sz w:val="32"/>
          <w:szCs w:val="32"/>
        </w:rPr>
        <w:t>：指除上述</w:t>
      </w:r>
      <w:r>
        <w:rPr>
          <w:rFonts w:cs="仿宋_GB2312"/>
          <w:kern w:val="2"/>
          <w:sz w:val="32"/>
          <w:szCs w:val="32"/>
        </w:rPr>
        <w:t>“</w:t>
      </w:r>
      <w:r>
        <w:rPr>
          <w:rFonts w:cs="仿宋_GB2312" w:hint="eastAsia"/>
          <w:kern w:val="2"/>
          <w:sz w:val="32"/>
          <w:szCs w:val="32"/>
        </w:rPr>
        <w:t>财政拨款收入</w:t>
      </w:r>
      <w:r>
        <w:rPr>
          <w:rFonts w:cs="仿宋_GB2312"/>
          <w:kern w:val="2"/>
          <w:sz w:val="32"/>
          <w:szCs w:val="32"/>
        </w:rPr>
        <w:t>”</w:t>
      </w:r>
      <w:r>
        <w:rPr>
          <w:rFonts w:cs="仿宋_GB2312" w:hint="eastAsia"/>
          <w:kern w:val="2"/>
          <w:sz w:val="32"/>
          <w:szCs w:val="32"/>
        </w:rPr>
        <w:t>、</w:t>
      </w:r>
      <w:r>
        <w:rPr>
          <w:rFonts w:cs="仿宋_GB2312"/>
          <w:kern w:val="2"/>
          <w:sz w:val="32"/>
          <w:szCs w:val="32"/>
        </w:rPr>
        <w:t>“</w:t>
      </w:r>
      <w:r>
        <w:rPr>
          <w:rFonts w:cs="仿宋_GB2312" w:hint="eastAsia"/>
          <w:kern w:val="2"/>
          <w:sz w:val="32"/>
          <w:szCs w:val="32"/>
        </w:rPr>
        <w:t>事业收入</w:t>
      </w:r>
      <w:r>
        <w:rPr>
          <w:rFonts w:cs="仿宋_GB2312"/>
          <w:kern w:val="2"/>
          <w:sz w:val="32"/>
          <w:szCs w:val="32"/>
        </w:rPr>
        <w:t>”</w:t>
      </w:r>
      <w:r>
        <w:rPr>
          <w:rFonts w:cs="仿宋_GB2312" w:hint="eastAsia"/>
          <w:kern w:val="2"/>
          <w:sz w:val="32"/>
          <w:szCs w:val="32"/>
        </w:rPr>
        <w:t>、</w:t>
      </w:r>
      <w:r>
        <w:rPr>
          <w:rFonts w:cs="仿宋_GB2312"/>
          <w:kern w:val="2"/>
          <w:sz w:val="32"/>
          <w:szCs w:val="32"/>
        </w:rPr>
        <w:t>“</w:t>
      </w:r>
      <w:r>
        <w:rPr>
          <w:rFonts w:cs="仿宋_GB2312" w:hint="eastAsia"/>
          <w:kern w:val="2"/>
          <w:sz w:val="32"/>
          <w:szCs w:val="32"/>
        </w:rPr>
        <w:t>事业单位经营收入</w:t>
      </w:r>
      <w:r>
        <w:rPr>
          <w:rFonts w:cs="仿宋_GB2312"/>
          <w:kern w:val="2"/>
          <w:sz w:val="32"/>
          <w:szCs w:val="32"/>
        </w:rPr>
        <w:t>”</w:t>
      </w:r>
      <w:r>
        <w:rPr>
          <w:rFonts w:cs="仿宋_GB2312" w:hint="eastAsia"/>
          <w:kern w:val="2"/>
          <w:sz w:val="32"/>
          <w:szCs w:val="32"/>
        </w:rPr>
        <w:t>等以外的收入，主要是所属行政事业单位按规定动用的售房收入、存款利息收入等。</w:t>
      </w:r>
      <w:r>
        <w:rPr>
          <w:rFonts w:cs="仿宋_GB2312"/>
          <w:kern w:val="2"/>
          <w:sz w:val="32"/>
          <w:szCs w:val="32"/>
        </w:rPr>
        <w:br/>
      </w:r>
      <w:r>
        <w:rPr>
          <w:rFonts w:cs="仿宋_GB2312" w:hint="eastAsia"/>
          <w:kern w:val="2"/>
          <w:sz w:val="32"/>
          <w:szCs w:val="32"/>
        </w:rPr>
        <w:t>　</w:t>
      </w:r>
      <w:r>
        <w:rPr>
          <w:rFonts w:ascii="楷体" w:eastAsia="楷体" w:cs="仿宋_GB2312" w:hint="eastAsia"/>
          <w:kern w:val="2"/>
          <w:sz w:val="32"/>
          <w:szCs w:val="32"/>
        </w:rPr>
        <w:t>　（五）用事业基金弥补收支差额</w:t>
      </w:r>
      <w:r>
        <w:rPr>
          <w:rFonts w:cs="仿宋_GB2312" w:hint="eastAsia"/>
          <w:kern w:val="2"/>
          <w:sz w:val="32"/>
          <w:szCs w:val="32"/>
        </w:rPr>
        <w:t>：指所属事业单位在预计用当年的</w:t>
      </w:r>
      <w:r>
        <w:rPr>
          <w:rFonts w:cs="仿宋_GB2312"/>
          <w:kern w:val="2"/>
          <w:sz w:val="32"/>
          <w:szCs w:val="32"/>
        </w:rPr>
        <w:t>“</w:t>
      </w:r>
      <w:r>
        <w:rPr>
          <w:rFonts w:cs="仿宋_GB2312" w:hint="eastAsia"/>
          <w:kern w:val="2"/>
          <w:sz w:val="32"/>
          <w:szCs w:val="32"/>
        </w:rPr>
        <w:t>财政拨款收入</w:t>
      </w:r>
      <w:r>
        <w:rPr>
          <w:rFonts w:cs="仿宋_GB2312"/>
          <w:kern w:val="2"/>
          <w:sz w:val="32"/>
          <w:szCs w:val="32"/>
        </w:rPr>
        <w:t>”</w:t>
      </w:r>
      <w:r>
        <w:rPr>
          <w:rFonts w:cs="仿宋_GB2312" w:hint="eastAsia"/>
          <w:kern w:val="2"/>
          <w:sz w:val="32"/>
          <w:szCs w:val="32"/>
        </w:rPr>
        <w:t>、</w:t>
      </w:r>
      <w:r>
        <w:rPr>
          <w:rFonts w:cs="仿宋_GB2312"/>
          <w:kern w:val="2"/>
          <w:sz w:val="32"/>
          <w:szCs w:val="32"/>
        </w:rPr>
        <w:t>“</w:t>
      </w:r>
      <w:r>
        <w:rPr>
          <w:rFonts w:cs="仿宋_GB2312" w:hint="eastAsia"/>
          <w:kern w:val="2"/>
          <w:sz w:val="32"/>
          <w:szCs w:val="32"/>
        </w:rPr>
        <w:t>事业收入</w:t>
      </w:r>
      <w:r>
        <w:rPr>
          <w:rFonts w:cs="仿宋_GB2312"/>
          <w:kern w:val="2"/>
          <w:sz w:val="32"/>
          <w:szCs w:val="32"/>
        </w:rPr>
        <w:t>”</w:t>
      </w:r>
      <w:r>
        <w:rPr>
          <w:rFonts w:cs="仿宋_GB2312" w:hint="eastAsia"/>
          <w:kern w:val="2"/>
          <w:sz w:val="32"/>
          <w:szCs w:val="32"/>
        </w:rPr>
        <w:t>、</w:t>
      </w:r>
      <w:r>
        <w:rPr>
          <w:rFonts w:cs="仿宋_GB2312"/>
          <w:kern w:val="2"/>
          <w:sz w:val="32"/>
          <w:szCs w:val="32"/>
        </w:rPr>
        <w:t>“</w:t>
      </w:r>
      <w:r>
        <w:rPr>
          <w:rFonts w:cs="仿宋_GB2312" w:hint="eastAsia"/>
          <w:kern w:val="2"/>
          <w:sz w:val="32"/>
          <w:szCs w:val="32"/>
        </w:rPr>
        <w:t>事业单位经营收入</w:t>
      </w:r>
      <w:r>
        <w:rPr>
          <w:rFonts w:cs="仿宋_GB2312"/>
          <w:kern w:val="2"/>
          <w:sz w:val="32"/>
          <w:szCs w:val="32"/>
        </w:rPr>
        <w:t>”</w:t>
      </w:r>
      <w:r>
        <w:rPr>
          <w:rFonts w:cs="仿宋_GB2312" w:hint="eastAsia"/>
          <w:kern w:val="2"/>
          <w:sz w:val="32"/>
          <w:szCs w:val="32"/>
        </w:rPr>
        <w:t>、</w:t>
      </w:r>
      <w:r>
        <w:rPr>
          <w:rFonts w:cs="仿宋_GB2312"/>
          <w:kern w:val="2"/>
          <w:sz w:val="32"/>
          <w:szCs w:val="32"/>
        </w:rPr>
        <w:t>“</w:t>
      </w:r>
      <w:r>
        <w:rPr>
          <w:rFonts w:cs="仿宋_GB2312" w:hint="eastAsia"/>
          <w:kern w:val="2"/>
          <w:sz w:val="32"/>
          <w:szCs w:val="32"/>
        </w:rPr>
        <w:t>其他收入</w:t>
      </w:r>
      <w:r>
        <w:rPr>
          <w:rFonts w:cs="仿宋_GB2312"/>
          <w:kern w:val="2"/>
          <w:sz w:val="32"/>
          <w:szCs w:val="32"/>
        </w:rPr>
        <w:t>”</w:t>
      </w:r>
      <w:r>
        <w:rPr>
          <w:rFonts w:cs="仿宋_GB2312" w:hint="eastAsia"/>
          <w:kern w:val="2"/>
          <w:sz w:val="32"/>
          <w:szCs w:val="32"/>
        </w:rPr>
        <w:t>不足以安排当年支出的情况下，使用以前年度积累的事业基金弥补本年度收支缺口的资金。</w:t>
      </w:r>
      <w:r>
        <w:rPr>
          <w:rFonts w:cs="仿宋_GB2312"/>
          <w:kern w:val="2"/>
          <w:sz w:val="32"/>
          <w:szCs w:val="32"/>
        </w:rPr>
        <w:br/>
      </w:r>
      <w:r>
        <w:rPr>
          <w:rFonts w:cs="仿宋_GB2312" w:hint="eastAsia"/>
          <w:kern w:val="2"/>
          <w:sz w:val="32"/>
          <w:szCs w:val="32"/>
        </w:rPr>
        <w:t>　</w:t>
      </w:r>
      <w:r>
        <w:rPr>
          <w:rFonts w:ascii="楷体" w:eastAsia="楷体" w:cs="仿宋_GB2312" w:hint="eastAsia"/>
          <w:kern w:val="2"/>
          <w:sz w:val="32"/>
          <w:szCs w:val="32"/>
        </w:rPr>
        <w:t>　（六）上年结转</w:t>
      </w:r>
      <w:r>
        <w:rPr>
          <w:rFonts w:cs="仿宋_GB2312" w:hint="eastAsia"/>
          <w:kern w:val="2"/>
          <w:sz w:val="32"/>
          <w:szCs w:val="32"/>
        </w:rPr>
        <w:t>：指所属行政事业单位以前年度尚未完成、结转至本年按原规定用途继续使用的资金和以前年度已完成项目剩余资金经批准用于新用途使用的资金。</w:t>
      </w:r>
    </w:p>
    <w:p>
      <w:pPr>
        <w:rPr>
          <w:rFonts w:ascii="仿宋_GB2312" w:eastAsia="仿宋_GB2312" w:cs="仿宋_GB2312"/>
          <w:sz w:val="32"/>
          <w:szCs w:val="32"/>
        </w:rPr>
      </w:pPr>
    </w:p>
    <w:sectPr>
      <w:headerReference w:type="default" r:id="rId2"/>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SimHei"/>
    <w:panose1 w:val="02010609060101010101"/>
    <w:charset w:val="86"/>
    <w:family w:val="modern"/>
    <w:pitch w:val="variable"/>
    <w:sig w:usb0="800002BF" w:usb1="38CF7CFA" w:usb2="00000016" w:usb3="00000000" w:csb0="00040001" w:csb1="00000000"/>
  </w:font>
  <w:font w:name="楷体">
    <w:panose1 w:val="02010609060101010101"/>
    <w:charset w:val="86"/>
    <w:family w:val="modern"/>
    <w:pitch w:val="variable"/>
    <w:sig w:usb0="800002BF" w:usb1="38CF7CFA" w:usb2="00000016" w:usb3="00000000" w:csb0="00040001" w:csb1="00000000"/>
  </w:font>
  <w:font w:name="??">
    <w:altName w:val="Times New Roman"/>
    <w:panose1 w:val="00000000000000000000"/>
    <w:charset w:val="00"/>
    <w:family w:val="roman"/>
    <w:pitch w:val="variable"/>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variable"/>
    <w:sig w:usb0="00000001" w:usb1="080E0000" w:usb2="00000010" w:usb3="00000000" w:csb0="00040000" w:csb1="00000000"/>
  </w:font>
  <w:font w:name="ˎ̥">
    <w:altName w:val="Times New Roman"/>
    <w:panose1 w:val="00000000000000000000"/>
    <w:charset w:val="00"/>
    <w:family w:val="roman"/>
    <w:pitch w:val="variable"/>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6"/>
      <w:pBdr>
        <w:bottom w:val="none" w:sz="0" w:space="0" w:color="auto"/>
      </w:pBdr>
      <w:tabs>
        <w:tab w:val="center" w:pos="4153"/>
        <w:tab w:val="right" w:pos="8306"/>
      </w:tabs>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47D03D20"/>
    <w:multiLevelType w:val="hybridMultilevel"/>
    <w:tmpl w:val="10C4A83C"/>
    <w:lvl w:ilvl="0">
      <w:start w:val="2"/>
      <w:numFmt w:val="japaneseCounting"/>
      <w:lvlRestart w:val="0"/>
      <w:lvlText w:val="%1、"/>
      <w:lvlJc w:val="left"/>
      <w:pPr>
        <w:tabs>
          <w:tab w:val="num" w:pos="0"/>
        </w:tabs>
        <w:ind w:left="1360" w:hanging="720"/>
      </w:pPr>
      <w:rPr>
        <w:rFonts w:hint="default"/>
      </w:rPr>
    </w:lvl>
    <w:lvl w:ilvl="1">
      <w:start w:val="1"/>
      <w:numFmt w:val="lowerLetter"/>
      <w:lvlText w:val="%2)"/>
      <w:lvlJc w:val="left"/>
      <w:pPr>
        <w:tabs>
          <w:tab w:val="num" w:pos="0"/>
        </w:tabs>
        <w:ind w:left="1480" w:hanging="420"/>
      </w:pPr>
    </w:lvl>
    <w:lvl w:ilvl="2">
      <w:start w:val="1"/>
      <w:numFmt w:val="lowerRoman"/>
      <w:lvlText w:val="%3."/>
      <w:lvlJc w:val="right"/>
      <w:pPr>
        <w:tabs>
          <w:tab w:val="num" w:pos="0"/>
        </w:tabs>
        <w:ind w:left="1900" w:hanging="420"/>
      </w:pPr>
    </w:lvl>
    <w:lvl w:ilvl="3">
      <w:start w:val="1"/>
      <w:numFmt w:val="decimal"/>
      <w:lvlText w:val="%4."/>
      <w:lvlJc w:val="left"/>
      <w:pPr>
        <w:tabs>
          <w:tab w:val="num" w:pos="0"/>
        </w:tabs>
        <w:ind w:left="2320" w:hanging="420"/>
      </w:pPr>
    </w:lvl>
    <w:lvl w:ilvl="4">
      <w:start w:val="1"/>
      <w:numFmt w:val="lowerLetter"/>
      <w:lvlText w:val="%5)"/>
      <w:lvlJc w:val="left"/>
      <w:pPr>
        <w:tabs>
          <w:tab w:val="num" w:pos="0"/>
        </w:tabs>
        <w:ind w:left="2740" w:hanging="420"/>
      </w:pPr>
    </w:lvl>
    <w:lvl w:ilvl="5">
      <w:start w:val="1"/>
      <w:numFmt w:val="lowerRoman"/>
      <w:lvlText w:val="%6."/>
      <w:lvlJc w:val="right"/>
      <w:pPr>
        <w:tabs>
          <w:tab w:val="num" w:pos="0"/>
        </w:tabs>
        <w:ind w:left="3160" w:hanging="420"/>
      </w:pPr>
    </w:lvl>
    <w:lvl w:ilvl="6">
      <w:start w:val="1"/>
      <w:numFmt w:val="decimal"/>
      <w:lvlText w:val="%7."/>
      <w:lvlJc w:val="left"/>
      <w:pPr>
        <w:tabs>
          <w:tab w:val="num" w:pos="0"/>
        </w:tabs>
        <w:ind w:left="3580" w:hanging="420"/>
      </w:pPr>
    </w:lvl>
    <w:lvl w:ilvl="7">
      <w:start w:val="1"/>
      <w:numFmt w:val="lowerLetter"/>
      <w:lvlText w:val="%8)"/>
      <w:lvlJc w:val="left"/>
      <w:pPr>
        <w:tabs>
          <w:tab w:val="num" w:pos="0"/>
        </w:tabs>
        <w:ind w:left="4000" w:hanging="420"/>
      </w:pPr>
    </w:lvl>
    <w:lvl w:ilvl="8">
      <w:start w:val="1"/>
      <w:numFmt w:val="lowerRoman"/>
      <w:lvlText w:val="%9."/>
      <w:lvlJc w:val="right"/>
      <w:pPr>
        <w:tabs>
          <w:tab w:val="num" w:pos="0"/>
        </w:tabs>
        <w:ind w:left="4420" w:hanging="42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Times New Roman"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 w:type="paragraph" w:styleId="16">
    <w:name w:val="header"/>
    <w:basedOn w:val="0"/>
    <w:pPr>
      <w:pBdr>
        <w:bottom w:val="single" w:sz="6" w:space="1" w:color="auto"/>
      </w:pBdr>
      <w:tabs>
        <w:tab w:val="center" w:pos="4153"/>
        <w:tab w:val="right" w:pos="8306"/>
      </w:tabs>
      <w:snapToGrid w:val="0"/>
      <w:jc w:val="center"/>
    </w:pPr>
    <w:rPr>
      <w:sz w:val="18"/>
      <w:szCs w:val="18"/>
    </w:rPr>
  </w:style>
  <w:style w:type="paragraph" w:styleId="17">
    <w:name w:val="List Paragraph"/>
    <w:basedOn w:val="0"/>
    <w:pPr>
      <w:ind w:firstLineChars="200" w:firstLine="200"/>
    </w:pPr>
  </w:style>
  <w:style w:type="paragraph" w:customStyle="1" w:styleId="18">
    <w:name w:val="正文文本1"/>
    <w:basedOn w:val="0"/>
    <w:pPr>
      <w:spacing w:before="93"/>
    </w:pPr>
    <w:rPr>
      <w:rFonts w:ascii="仿宋_GB2312" w:eastAsia="仿宋_GB2312"/>
      <w:kern w:val="0"/>
      <w:sz w:val="30"/>
      <w:szCs w:val="2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8</TotalTime>
  <Application>Yozo_Office27021597764231179</Application>
  <Pages>6</Pages>
  <Words>1635</Words>
  <Characters>1739</Characters>
  <Lines>124</Lines>
  <Paragraphs>51</Paragraphs>
  <CharactersWithSpaces>1800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疯丫头。。</dc:creator>
  <cp:lastModifiedBy>Administrator</cp:lastModifiedBy>
  <cp:revision>4</cp:revision>
  <cp:lastPrinted>2018-01-30T09:39:00Z</cp:lastPrinted>
  <dcterms:created xsi:type="dcterms:W3CDTF">2022-12-30T09:44:00Z</dcterms:created>
  <dcterms:modified xsi:type="dcterms:W3CDTF">2025-01-16T09:23:59Z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2052-10.1.0.7106</vt:lpwstr>
  </property>
</Properties>
</file>